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REFERENTNA STRANICA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Verzija 8.1.3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Izvještaji proračuna, proračunskih i izvanproračunskih korisnika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leader="underscore" w:pos="2113" w:val="left"/>
          <w:tab w:leader="underscore" w:pos="3794" w:val="left"/>
          <w:tab w:pos="4525" w:val="left"/>
          <w:tab w:leader="underscore" w:pos="6062" w:val="left"/>
          <w:tab w:leader="underscore" w:pos="7380" w:val="left"/>
        </w:tabs>
        <w:bidi w:val="0"/>
        <w:spacing w:before="0" w:after="0" w:line="240" w:lineRule="auto"/>
        <w:ind w:left="626" w:right="0" w:firstLine="0"/>
        <w:jc w:val="left"/>
      </w:pPr>
      <w:r>
        <w:rPr>
          <w:color w:val="000000"/>
          <w:spacing w:val="0"/>
          <w:w w:val="100"/>
          <w:position w:val="0"/>
          <w:u w:val="none"/>
          <w:shd w:val="clear" w:color="auto" w:fill="auto"/>
          <w:lang w:val="hr-HR" w:eastAsia="hr-HR" w:bidi="hr-HR"/>
        </w:rPr>
        <w:t>RKP:|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46663</w:t>
      </w:r>
      <w:r>
        <w:rPr>
          <w:color w:val="000000"/>
          <w:spacing w:val="0"/>
          <w:w w:val="100"/>
          <w:position w:val="0"/>
          <w:u w:val="none"/>
          <w:shd w:val="clear" w:color="auto" w:fill="auto"/>
          <w:lang w:val="hr-HR" w:eastAsia="hr-HR" w:bidi="hr-HR"/>
        </w:rPr>
        <w:tab/>
        <w:t>|</w:t>
        <w:tab/>
        <w:tab/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Popunjen Broj pogrešaka</w:t>
      </w:r>
    </w:p>
    <w:tbl>
      <w:tblPr>
        <w:tblOverlap w:val="never"/>
        <w:jc w:val="right"/>
        <w:tblLayout w:type="fixed"/>
      </w:tblPr>
      <w:tblGrid>
        <w:gridCol w:w="4550"/>
        <w:gridCol w:w="1544"/>
        <w:gridCol w:w="1318"/>
        <w:gridCol w:w="1235"/>
        <w:gridCol w:w="1267"/>
      </w:tblGrid>
      <w:tr>
        <w:trPr>
          <w:trHeight w:val="21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1598" w:val="left"/>
                <w:tab w:pos="3791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hr-HR" w:eastAsia="hr-HR" w:bidi="hr-HR"/>
              </w:rPr>
              <w:t>Naziv obveznika:|</w:t>
              <w:tab/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hr-HR" w:eastAsia="hr-HR" w:bidi="hr-HR"/>
              </w:rPr>
              <w:t>DJEČJI VRTIĆ LEKENIK</w:t>
              <w:tab/>
              <w:t>|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hr-HR" w:eastAsia="hr-HR" w:bidi="hr-HR"/>
              </w:rPr>
              <w:t>Pregled popunjenosti obrazaca: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hr-HR" w:eastAsia="hr-HR" w:bidi="hr-HR"/>
              </w:rPr>
              <w:t>PR-RAS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hr-HR" w:eastAsia="hr-HR" w:bidi="hr-HR"/>
              </w:rPr>
              <w:t>DA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hr-HR" w:eastAsia="hr-HR" w:bidi="hr-HR"/>
              </w:rPr>
              <w:t>Nema</w:t>
            </w:r>
          </w:p>
        </w:tc>
      </w:tr>
      <w:tr>
        <w:trPr>
          <w:trHeight w:val="17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hr-HR" w:eastAsia="hr-HR" w:bidi="hr-HR"/>
              </w:rPr>
              <w:t>BILANCA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hr-HR" w:eastAsia="hr-HR" w:bidi="hr-HR"/>
              </w:rPr>
              <w:t>DA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hr-HR" w:eastAsia="hr-HR" w:bidi="hr-HR"/>
              </w:rPr>
              <w:t>Nema</w:t>
            </w:r>
          </w:p>
        </w:tc>
      </w:tr>
      <w:tr>
        <w:trPr>
          <w:trHeight w:val="20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2282" w:val="left"/>
                <w:tab w:pos="3794" w:val="left"/>
              </w:tabs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Razina: |</w:t>
              <w:tab/>
              <w:t>21</w:t>
              <w:tab/>
              <w:t>[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hr-HR" w:eastAsia="hr-HR" w:bidi="hr-HR"/>
              </w:rPr>
              <w:t>RAS funkcijski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hr-HR" w:eastAsia="hr-HR" w:bidi="hr-HR"/>
              </w:rPr>
              <w:t>DA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hr-HR" w:eastAsia="hr-HR" w:bidi="hr-HR"/>
              </w:rPr>
              <w:t>Nema</w:t>
            </w:r>
          </w:p>
        </w:tc>
      </w:tr>
      <w:tr>
        <w:trPr>
          <w:trHeight w:val="17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hr-HR" w:eastAsia="hr-HR" w:bidi="hr-HR"/>
              </w:rPr>
              <w:t>P-VRIO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hr-HR" w:eastAsia="hr-HR" w:bidi="hr-HR"/>
              </w:rPr>
              <w:t>DA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hr-HR" w:eastAsia="hr-HR" w:bidi="hr-HR"/>
              </w:rPr>
              <w:t>Nema</w:t>
            </w:r>
          </w:p>
        </w:tc>
      </w:tr>
      <w:tr>
        <w:trPr>
          <w:trHeight w:val="21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hr-HR" w:eastAsia="hr-HR" w:bidi="hr-HR"/>
              </w:rPr>
              <w:t>OBVEZE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hr-HR" w:eastAsia="hr-HR" w:bidi="hr-HR"/>
              </w:rPr>
              <w:t>DA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hr-HR" w:eastAsia="hr-HR" w:bidi="hr-HR"/>
              </w:rPr>
              <w:t>Nema</w:t>
            </w:r>
          </w:p>
        </w:tc>
      </w:tr>
    </w:tbl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1"/>
          <w:szCs w:val="11"/>
        </w:rPr>
      </w:pPr>
      <w:r>
        <w:rPr>
          <w:color w:val="000000"/>
          <w:spacing w:val="0"/>
          <w:w w:val="100"/>
          <w:position w:val="0"/>
          <w:sz w:val="11"/>
          <w:szCs w:val="11"/>
          <w:u w:val="none"/>
          <w:shd w:val="clear" w:color="auto" w:fill="auto"/>
          <w:lang w:val="hr-HR" w:eastAsia="hr-HR" w:bidi="hr-HR"/>
        </w:rPr>
        <w:t>Oznaka razdoblja: |</w:t>
      </w:r>
      <w:r>
        <w:rPr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hr-HR" w:eastAsia="hr-HR" w:bidi="hr-HR"/>
        </w:rPr>
        <w:t>2023-12</w:t>
      </w:r>
      <w:r>
        <w:rPr>
          <w:color w:val="000000"/>
          <w:spacing w:val="0"/>
          <w:w w:val="100"/>
          <w:position w:val="0"/>
          <w:sz w:val="11"/>
          <w:szCs w:val="11"/>
          <w:u w:val="none"/>
          <w:shd w:val="clear" w:color="auto" w:fill="auto"/>
          <w:lang w:val="hr-HR" w:eastAsia="hr-HR" w:bidi="hr-HR"/>
        </w:rPr>
        <w:t>|</w:t>
      </w:r>
    </w:p>
    <w:p>
      <w:pPr>
        <w:widowControl w:val="0"/>
        <w:spacing w:after="339" w:line="1" w:lineRule="exact"/>
      </w:pPr>
    </w:p>
    <w:tbl>
      <w:tblPr>
        <w:tblOverlap w:val="never"/>
        <w:jc w:val="center"/>
        <w:tblLayout w:type="fixed"/>
      </w:tblPr>
      <w:tblGrid>
        <w:gridCol w:w="1292"/>
        <w:gridCol w:w="6318"/>
        <w:gridCol w:w="598"/>
        <w:gridCol w:w="1246"/>
        <w:gridCol w:w="396"/>
        <w:gridCol w:w="868"/>
      </w:tblGrid>
      <w:tr>
        <w:trPr>
          <w:trHeight w:val="4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hr-HR" w:eastAsia="hr-HR" w:bidi="hr-HR"/>
              </w:rPr>
              <w:t>Obrazac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hr-HR" w:eastAsia="hr-HR" w:bidi="hr-HR"/>
              </w:rPr>
              <w:t>Opis stavke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hr-HR" w:eastAsia="hr-HR" w:bidi="hr-HR"/>
              </w:rPr>
              <w:t>Šifra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hr-HR" w:eastAsia="hr-HR" w:bidi="hr-HR"/>
              </w:rPr>
              <w:t>Prethodna godina / početak godine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hr-HR" w:eastAsia="hr-HR" w:bidi="hr-HR"/>
              </w:rPr>
              <w:t>Tekuća godina / kraj godine</w:t>
            </w:r>
          </w:p>
        </w:tc>
      </w:tr>
      <w:tr>
        <w:trPr>
          <w:trHeight w:val="17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PR-RAS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PRIHODI POSLOVANJA (šifre 61+62+63+64+65+66+67+68)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375,692.21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477,686.76</w:t>
            </w:r>
          </w:p>
        </w:tc>
      </w:tr>
      <w:tr>
        <w:trPr>
          <w:trHeight w:val="17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RASHODI POSLOVANJA (šifre 31+32+34+35+36+37+38)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455,562.24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489,973.84</w:t>
            </w:r>
          </w:p>
        </w:tc>
      </w:tr>
      <w:tr>
        <w:trPr>
          <w:trHeight w:val="17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 xml:space="preserve">Višak prihoda i primitaka raspoloživ u sljedećem razdoblju (šifre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X005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 xml:space="preserve">+ '9221-9222' -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Y005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- '9222-9221')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-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 xml:space="preserve">Manjak prihoda i primitaka za pokriće u sljedećem razdoblju (šifre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Y005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 xml:space="preserve">+ '9222-9221' -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X005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- '9221-9222')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Y006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67,921.12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89,007.95</w:t>
            </w:r>
          </w:p>
        </w:tc>
      </w:tr>
      <w:tr>
        <w:trPr>
          <w:trHeight w:val="17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BILANCA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Nefinancijska imovina (šifre 01+02+03+04+05+06)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B002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25,558.05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24,412.05</w:t>
            </w:r>
          </w:p>
        </w:tc>
      </w:tr>
      <w:tr>
        <w:trPr>
          <w:trHeight w:val="1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Financijska imovina (šifre 11+12+13+14+15+16+17+19)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34,845.26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41,764.20</w:t>
            </w:r>
          </w:p>
        </w:tc>
      </w:tr>
      <w:tr>
        <w:trPr>
          <w:trHeight w:val="17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 (šifre 23+24+25+26+29)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92,907.76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119,534.62</w:t>
            </w:r>
          </w:p>
        </w:tc>
      </w:tr>
      <w:tr>
        <w:trPr>
          <w:trHeight w:val="1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Vlastiti izvori (šifre 91 + 922 -93 + 96 do 98)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(32,504.45)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(53,358.37)</w:t>
            </w:r>
          </w:p>
        </w:tc>
      </w:tr>
      <w:tr>
        <w:trPr>
          <w:trHeight w:val="17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RAS-funkcijski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Opće javne usluge (šifre 011+012+013+014 do 018)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-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7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Ekonomski poslovi (šifre 041+042+043+044+045+046+047+048+049)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-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7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Rashodi vezani za stanovanje i kom. pogodnosti koji nisu drugdje svrstani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-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7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Obrazovanje (šifre 091+092+093+094+095+096+097+098)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460,020.80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499,705.27</w:t>
            </w:r>
          </w:p>
        </w:tc>
      </w:tr>
      <w:tr>
        <w:trPr>
          <w:trHeight w:val="1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Kontrolni zbroj (šifre 01+02+03+04+05+06+07+08+09+10)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R1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460,020.80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499,705.27</w:t>
            </w:r>
          </w:p>
        </w:tc>
      </w:tr>
      <w:tr>
        <w:trPr>
          <w:trHeight w:val="17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P-VRIO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Promjene u vrijednosti i obujmu imovine (šifre 91511+91512)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-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Promjene u obujmu imovine (šifre P016+P023)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91512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-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7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Promjene u vrijednosti (revalorizacija) i obujmu obveza (šifre 91521+91522)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9152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-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7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 xml:space="preserve">Promjene u obujmu obveza (šifre P035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do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P038)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91522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-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-</w:t>
            </w:r>
          </w:p>
        </w:tc>
      </w:tr>
      <w:tr>
        <w:trPr>
          <w:trHeight w:val="17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OBVEZE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Stanje obveza 1. siječnja (=stanju obveza iz Izvještaja o obvezama na 31. prosinca prethodne godine)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V001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-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92,907.75</w:t>
            </w:r>
          </w:p>
        </w:tc>
      </w:tr>
      <w:tr>
        <w:trPr>
          <w:trHeight w:val="16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Stanje obveza na kraju izvještajnog razdoblja (šifre V001+V002-V004) i (šifre V007+V009)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V006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119,534.62</w:t>
            </w:r>
          </w:p>
        </w:tc>
      </w:tr>
      <w:tr>
        <w:trPr>
          <w:trHeight w:val="17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Stanje dospjelih obveza na kraju izvještajnog razdoblja (šifre V008+D23+D24 + 'D dio 25,26')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V007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121.38</w:t>
            </w:r>
          </w:p>
        </w:tc>
      </w:tr>
      <w:tr>
        <w:trPr>
          <w:trHeight w:val="180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 xml:space="preserve">Stanje nedospjelih obveza na kraju izvještajnog razdoblja (šifre V010 + ND23 + ND24 +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'ND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dio 25,26')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V009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119,413.24</w:t>
            </w:r>
          </w:p>
        </w:tc>
      </w:tr>
    </w:tbl>
    <w:p>
      <w:pPr>
        <w:widowControl w:val="0"/>
        <w:jc w:val="right"/>
        <w:rPr>
          <w:sz w:val="2"/>
          <w:szCs w:val="2"/>
        </w:rPr>
      </w:pPr>
      <w:r>
        <w:drawing>
          <wp:inline>
            <wp:extent cx="1822450" cy="110363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822450" cy="110363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footnotePr>
        <w:pos w:val="pageBottom"/>
        <w:numFmt w:val="decimal"/>
        <w:numRestart w:val="continuous"/>
      </w:footnotePr>
      <w:pgSz w:w="11900" w:h="16840"/>
      <w:pgMar w:top="1291" w:right="923" w:bottom="1291" w:left="259" w:header="863" w:footer="86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hr-HR" w:eastAsia="hr-HR" w:bidi="hr-HR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hr-HR" w:eastAsia="hr-HR" w:bidi="hr-HR"/>
    </w:rPr>
  </w:style>
  <w:style w:type="character" w:customStyle="1" w:styleId="CharStyle3">
    <w:name w:val="Body text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">
    <w:name w:val="Body text (3)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7">
    <w:name w:val="Body text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9">
    <w:name w:val="Table caption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single"/>
    </w:rPr>
  </w:style>
  <w:style w:type="character" w:customStyle="1" w:styleId="CharStyle14">
    <w:name w:val="Other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Style2">
    <w:name w:val="Body text (2)"/>
    <w:basedOn w:val="Normal"/>
    <w:link w:val="CharStyle3"/>
    <w:pPr>
      <w:widowControl w:val="0"/>
      <w:shd w:val="clear" w:color="auto" w:fill="auto"/>
      <w:spacing w:after="140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">
    <w:name w:val="Body text (3)"/>
    <w:basedOn w:val="Normal"/>
    <w:link w:val="CharStyle5"/>
    <w:pPr>
      <w:widowControl w:val="0"/>
      <w:shd w:val="clear" w:color="auto" w:fill="auto"/>
      <w:spacing w:after="140"/>
      <w:ind w:left="96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styleId="Style6">
    <w:name w:val="Body text"/>
    <w:basedOn w:val="Normal"/>
    <w:link w:val="CharStyle7"/>
    <w:qFormat/>
    <w:pPr>
      <w:widowControl w:val="0"/>
      <w:shd w:val="clear" w:color="auto" w:fill="auto"/>
      <w:spacing w:after="180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8">
    <w:name w:val="Table caption"/>
    <w:basedOn w:val="Normal"/>
    <w:link w:val="CharStyle9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single"/>
    </w:rPr>
  </w:style>
  <w:style w:type="paragraph" w:customStyle="1" w:styleId="Style13">
    <w:name w:val="Other"/>
    <w:basedOn w:val="Normal"/>
    <w:link w:val="CharStyle14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